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D20D" w14:textId="77777777" w:rsidR="0037694C" w:rsidRPr="00B500C4" w:rsidRDefault="0037694C" w:rsidP="00982D1C">
      <w:pPr>
        <w:rPr>
          <w:rFonts w:cstheme="minorHAnsi"/>
          <w:color w:val="000000" w:themeColor="text1"/>
          <w:sz w:val="24"/>
          <w:szCs w:val="24"/>
        </w:rPr>
      </w:pPr>
    </w:p>
    <w:p w14:paraId="6F160213" w14:textId="77777777" w:rsidR="0085149D" w:rsidRPr="00B500C4" w:rsidRDefault="0085149D" w:rsidP="00982D1C">
      <w:pPr>
        <w:rPr>
          <w:rFonts w:cstheme="minorHAnsi"/>
          <w:color w:val="000000" w:themeColor="text1"/>
          <w:sz w:val="24"/>
          <w:szCs w:val="24"/>
        </w:rPr>
      </w:pPr>
    </w:p>
    <w:p w14:paraId="3B05AE35" w14:textId="426D1D9E" w:rsidR="00982D1C" w:rsidRPr="00B500C4" w:rsidRDefault="00982D1C" w:rsidP="00982D1C">
      <w:pPr>
        <w:rPr>
          <w:rFonts w:cstheme="minorHAnsi"/>
          <w:color w:val="000000" w:themeColor="text1"/>
          <w:sz w:val="24"/>
          <w:szCs w:val="24"/>
        </w:rPr>
      </w:pPr>
      <w:r w:rsidRPr="00B500C4">
        <w:rPr>
          <w:rFonts w:cstheme="minorHAnsi"/>
          <w:color w:val="000000" w:themeColor="text1"/>
          <w:sz w:val="24"/>
          <w:szCs w:val="24"/>
        </w:rPr>
        <w:t>KOMUNIKAT PRASOWY</w:t>
      </w:r>
    </w:p>
    <w:p w14:paraId="75A37F39" w14:textId="6AEF2E8B" w:rsidR="00982D1C" w:rsidRPr="00B500C4" w:rsidRDefault="00982D1C" w:rsidP="00982D1C">
      <w:pPr>
        <w:jc w:val="right"/>
        <w:rPr>
          <w:rFonts w:cstheme="minorHAnsi"/>
          <w:color w:val="000000" w:themeColor="text1"/>
          <w:sz w:val="24"/>
          <w:szCs w:val="24"/>
        </w:rPr>
      </w:pPr>
      <w:r w:rsidRPr="00B500C4">
        <w:rPr>
          <w:rFonts w:cstheme="minorHAnsi"/>
          <w:color w:val="000000" w:themeColor="text1"/>
          <w:sz w:val="24"/>
          <w:szCs w:val="24"/>
        </w:rPr>
        <w:t>Warszawa,</w:t>
      </w:r>
      <w:r w:rsidR="00117C62">
        <w:rPr>
          <w:rFonts w:cstheme="minorHAnsi"/>
          <w:color w:val="000000" w:themeColor="text1"/>
          <w:sz w:val="24"/>
          <w:szCs w:val="24"/>
        </w:rPr>
        <w:t xml:space="preserve"> </w:t>
      </w:r>
      <w:r w:rsidR="00A55818">
        <w:rPr>
          <w:rFonts w:cstheme="minorHAnsi"/>
          <w:color w:val="000000" w:themeColor="text1"/>
          <w:sz w:val="24"/>
          <w:szCs w:val="24"/>
        </w:rPr>
        <w:t>26</w:t>
      </w:r>
      <w:r w:rsidR="00A55818" w:rsidRPr="00B500C4">
        <w:rPr>
          <w:rFonts w:cstheme="minorHAnsi"/>
          <w:color w:val="000000" w:themeColor="text1"/>
          <w:sz w:val="24"/>
          <w:szCs w:val="24"/>
        </w:rPr>
        <w:t xml:space="preserve"> </w:t>
      </w:r>
      <w:r w:rsidR="00B500C4" w:rsidRPr="00B500C4">
        <w:rPr>
          <w:rFonts w:cstheme="minorHAnsi"/>
          <w:color w:val="000000" w:themeColor="text1"/>
          <w:sz w:val="24"/>
          <w:szCs w:val="24"/>
        </w:rPr>
        <w:t>listopada</w:t>
      </w:r>
      <w:r w:rsidR="00B65C3D" w:rsidRPr="00B500C4">
        <w:rPr>
          <w:rFonts w:cstheme="minorHAnsi"/>
          <w:color w:val="000000" w:themeColor="text1"/>
          <w:sz w:val="24"/>
          <w:szCs w:val="24"/>
        </w:rPr>
        <w:t xml:space="preserve"> 2021</w:t>
      </w:r>
    </w:p>
    <w:p w14:paraId="5B6FF801" w14:textId="734AF52F" w:rsidR="007F4ABE" w:rsidRPr="00B500C4" w:rsidRDefault="007F4ABE" w:rsidP="007F4ABE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C81143D" w14:textId="5CCE66DA" w:rsidR="00117C62" w:rsidRDefault="00117C62" w:rsidP="00117C62">
      <w:pPr>
        <w:jc w:val="center"/>
        <w:rPr>
          <w:b/>
          <w:bCs/>
          <w:color w:val="000000" w:themeColor="text1"/>
          <w:shd w:val="clear" w:color="auto" w:fill="FFFFFF"/>
        </w:rPr>
      </w:pPr>
      <w:r w:rsidRPr="002661FE">
        <w:rPr>
          <w:b/>
          <w:bCs/>
          <w:color w:val="000000" w:themeColor="text1"/>
          <w:shd w:val="clear" w:color="auto" w:fill="FFFFFF"/>
        </w:rPr>
        <w:t>CIT od przerzuconych dochodów</w:t>
      </w:r>
      <w:r>
        <w:rPr>
          <w:b/>
          <w:bCs/>
          <w:color w:val="000000" w:themeColor="text1"/>
          <w:shd w:val="clear" w:color="auto" w:fill="FFFFFF"/>
        </w:rPr>
        <w:t xml:space="preserve"> – czy będzie skuteczny?</w:t>
      </w:r>
    </w:p>
    <w:p w14:paraId="754C9D12" w14:textId="77777777" w:rsidR="00A55818" w:rsidRPr="002661FE" w:rsidRDefault="00A55818" w:rsidP="00117C62">
      <w:pPr>
        <w:jc w:val="center"/>
        <w:rPr>
          <w:b/>
          <w:bCs/>
          <w:color w:val="000000" w:themeColor="text1"/>
          <w:shd w:val="clear" w:color="auto" w:fill="FFFFFF"/>
        </w:rPr>
      </w:pPr>
    </w:p>
    <w:p w14:paraId="1F8FE3AD" w14:textId="77777777" w:rsidR="00117C62" w:rsidRPr="002661FE" w:rsidRDefault="00117C62" w:rsidP="00117C62">
      <w:pPr>
        <w:jc w:val="both"/>
        <w:rPr>
          <w:b/>
          <w:bCs/>
          <w:color w:val="000000" w:themeColor="text1"/>
          <w:shd w:val="clear" w:color="auto" w:fill="FFFFFF"/>
        </w:rPr>
      </w:pPr>
      <w:r w:rsidRPr="002661FE">
        <w:rPr>
          <w:b/>
          <w:bCs/>
          <w:color w:val="000000" w:themeColor="text1"/>
          <w:shd w:val="clear" w:color="auto" w:fill="FFFFFF"/>
        </w:rPr>
        <w:t xml:space="preserve">Polski Ład wprowadza podatek, którego celem jest ukrócenie przerzucania kosztów bezpośrednich lub pośrednich na powiązane podmioty. </w:t>
      </w:r>
      <w:r>
        <w:rPr>
          <w:b/>
          <w:bCs/>
          <w:color w:val="000000" w:themeColor="text1"/>
          <w:shd w:val="clear" w:color="auto" w:fill="FFFFFF"/>
        </w:rPr>
        <w:t>Podpisana przez prezydenta ustawa</w:t>
      </w:r>
      <w:r w:rsidRPr="002661FE">
        <w:rPr>
          <w:b/>
          <w:bCs/>
          <w:color w:val="000000" w:themeColor="text1"/>
          <w:shd w:val="clear" w:color="auto" w:fill="FFFFFF"/>
        </w:rPr>
        <w:t xml:space="preserve"> ma zapobiec agresywnej optymalizacji podatkowej polegającej na unikaniu płacenia podatków w Polsce przez transfer dochodów do podmiotów zarejestrowanych w innych państwach. </w:t>
      </w:r>
    </w:p>
    <w:p w14:paraId="6E1E2DB9" w14:textId="77777777" w:rsidR="00117C62" w:rsidRPr="002661FE" w:rsidRDefault="00117C62" w:rsidP="00117C62">
      <w:pPr>
        <w:jc w:val="both"/>
        <w:rPr>
          <w:color w:val="000000" w:themeColor="text1"/>
          <w:shd w:val="clear" w:color="auto" w:fill="FFFFFF"/>
        </w:rPr>
      </w:pPr>
    </w:p>
    <w:p w14:paraId="16CD1629" w14:textId="77777777" w:rsidR="00117C62" w:rsidRPr="002661FE" w:rsidRDefault="00117C62" w:rsidP="00117C62">
      <w:pPr>
        <w:jc w:val="both"/>
        <w:rPr>
          <w:b/>
          <w:bCs/>
          <w:color w:val="000000" w:themeColor="text1"/>
          <w:shd w:val="clear" w:color="auto" w:fill="FFFFFF"/>
        </w:rPr>
      </w:pPr>
      <w:r w:rsidRPr="002661FE">
        <w:rPr>
          <w:b/>
          <w:bCs/>
          <w:color w:val="000000" w:themeColor="text1"/>
          <w:shd w:val="clear" w:color="auto" w:fill="FFFFFF"/>
        </w:rPr>
        <w:t>CIT ratunkiem dla PKB</w:t>
      </w:r>
    </w:p>
    <w:p w14:paraId="54D7D16D" w14:textId="77777777" w:rsidR="00117C62" w:rsidRDefault="00117C62" w:rsidP="00117C62">
      <w:pPr>
        <w:jc w:val="both"/>
        <w:rPr>
          <w:color w:val="000000" w:themeColor="text1"/>
          <w:shd w:val="clear" w:color="auto" w:fill="FFFFFF"/>
        </w:rPr>
      </w:pPr>
      <w:r w:rsidRPr="002661FE">
        <w:rPr>
          <w:color w:val="000000" w:themeColor="text1"/>
          <w:shd w:val="clear" w:color="auto" w:fill="FFFFFF"/>
        </w:rPr>
        <w:t xml:space="preserve">Zmiana w ustawie ma być odpowiedzią na odnotowywany spadek wpływu z CIT w relacji do PKB. Wpływy z podatku w 2008 roku stanowiły 2,7 % PKB, w 2014 roku spadły do 1,7%, </w:t>
      </w:r>
      <w:r>
        <w:rPr>
          <w:color w:val="000000" w:themeColor="text1"/>
          <w:shd w:val="clear" w:color="auto" w:fill="FFFFFF"/>
        </w:rPr>
        <w:t>a</w:t>
      </w:r>
      <w:r w:rsidRPr="002661FE">
        <w:rPr>
          <w:color w:val="000000" w:themeColor="text1"/>
          <w:shd w:val="clear" w:color="auto" w:fill="FFFFFF"/>
        </w:rPr>
        <w:t xml:space="preserve"> w 2018 </w:t>
      </w:r>
      <w:r>
        <w:rPr>
          <w:color w:val="000000" w:themeColor="text1"/>
          <w:shd w:val="clear" w:color="auto" w:fill="FFFFFF"/>
        </w:rPr>
        <w:t>wyniosły</w:t>
      </w:r>
      <w:r w:rsidRPr="002661FE">
        <w:rPr>
          <w:color w:val="000000" w:themeColor="text1"/>
          <w:shd w:val="clear" w:color="auto" w:fill="FFFFFF"/>
        </w:rPr>
        <w:t xml:space="preserve"> 2,1 %.  </w:t>
      </w:r>
    </w:p>
    <w:p w14:paraId="768A14B7" w14:textId="10BA1BBD" w:rsidR="00117C62" w:rsidRDefault="00117C62" w:rsidP="00117C62">
      <w:pPr>
        <w:jc w:val="both"/>
        <w:rPr>
          <w:color w:val="000000" w:themeColor="text1"/>
          <w:shd w:val="clear" w:color="auto" w:fill="FFFFFF"/>
        </w:rPr>
      </w:pPr>
      <w:r w:rsidRPr="002661FE">
        <w:rPr>
          <w:i/>
          <w:iCs/>
          <w:color w:val="000000" w:themeColor="text1"/>
          <w:shd w:val="clear" w:color="auto" w:fill="FFFFFF"/>
        </w:rPr>
        <w:t xml:space="preserve">– Podatek dochodowy od osób prawnych jest ważnym </w:t>
      </w:r>
      <w:r>
        <w:rPr>
          <w:i/>
          <w:iCs/>
          <w:color w:val="000000" w:themeColor="text1"/>
          <w:shd w:val="clear" w:color="auto" w:fill="FFFFFF"/>
        </w:rPr>
        <w:t>źródłem finansowania</w:t>
      </w:r>
      <w:r w:rsidRPr="002661FE">
        <w:rPr>
          <w:i/>
          <w:iCs/>
          <w:color w:val="000000" w:themeColor="text1"/>
          <w:shd w:val="clear" w:color="auto" w:fill="FFFFFF"/>
        </w:rPr>
        <w:t xml:space="preserve"> budżet</w:t>
      </w:r>
      <w:r>
        <w:rPr>
          <w:i/>
          <w:iCs/>
          <w:color w:val="000000" w:themeColor="text1"/>
          <w:shd w:val="clear" w:color="auto" w:fill="FFFFFF"/>
        </w:rPr>
        <w:t>u</w:t>
      </w:r>
      <w:r w:rsidRPr="002661FE">
        <w:rPr>
          <w:i/>
          <w:iCs/>
          <w:color w:val="000000" w:themeColor="text1"/>
          <w:shd w:val="clear" w:color="auto" w:fill="FFFFFF"/>
        </w:rPr>
        <w:t xml:space="preserve"> państwa</w:t>
      </w:r>
      <w:r>
        <w:rPr>
          <w:i/>
          <w:iCs/>
          <w:color w:val="000000" w:themeColor="text1"/>
          <w:shd w:val="clear" w:color="auto" w:fill="FFFFFF"/>
        </w:rPr>
        <w:t>.</w:t>
      </w:r>
      <w:r w:rsidRPr="002661FE">
        <w:rPr>
          <w:i/>
          <w:iCs/>
          <w:color w:val="000000" w:themeColor="text1"/>
          <w:shd w:val="clear" w:color="auto" w:fill="FFFFFF"/>
        </w:rPr>
        <w:t xml:space="preserve"> </w:t>
      </w:r>
      <w:r w:rsidR="00C935CA">
        <w:rPr>
          <w:i/>
          <w:iCs/>
          <w:color w:val="000000" w:themeColor="text1"/>
          <w:shd w:val="clear" w:color="auto" w:fill="FFFFFF"/>
        </w:rPr>
        <w:t>Dlatego też w</w:t>
      </w:r>
      <w:r w:rsidRPr="002661FE">
        <w:rPr>
          <w:i/>
          <w:iCs/>
          <w:color w:val="000000" w:themeColor="text1"/>
          <w:shd w:val="clear" w:color="auto" w:fill="FFFFFF"/>
        </w:rPr>
        <w:t xml:space="preserve">ładze starają </w:t>
      </w:r>
      <w:r>
        <w:rPr>
          <w:i/>
          <w:iCs/>
          <w:color w:val="000000" w:themeColor="text1"/>
          <w:shd w:val="clear" w:color="auto" w:fill="FFFFFF"/>
        </w:rPr>
        <w:t xml:space="preserve">się </w:t>
      </w:r>
      <w:r w:rsidRPr="002661FE">
        <w:rPr>
          <w:i/>
          <w:iCs/>
          <w:color w:val="000000" w:themeColor="text1"/>
          <w:shd w:val="clear" w:color="auto" w:fill="FFFFFF"/>
        </w:rPr>
        <w:t>wpłynąć na firmy, szczególnie duże korporacje, aby nie transferowały za granicę należności do powiązanych podmiotów</w:t>
      </w:r>
      <w:r>
        <w:rPr>
          <w:i/>
          <w:iCs/>
          <w:color w:val="000000" w:themeColor="text1"/>
          <w:shd w:val="clear" w:color="auto" w:fill="FFFFFF"/>
        </w:rPr>
        <w:t xml:space="preserve">. </w:t>
      </w:r>
      <w:r w:rsidR="00C935CA">
        <w:rPr>
          <w:i/>
          <w:iCs/>
          <w:color w:val="000000" w:themeColor="text1"/>
          <w:shd w:val="clear" w:color="auto" w:fill="FFFFFF"/>
        </w:rPr>
        <w:t>Dzieje się tak</w:t>
      </w:r>
      <w:r>
        <w:rPr>
          <w:i/>
          <w:iCs/>
          <w:color w:val="000000" w:themeColor="text1"/>
          <w:shd w:val="clear" w:color="auto" w:fill="FFFFFF"/>
        </w:rPr>
        <w:t xml:space="preserve"> pod pretekstem </w:t>
      </w:r>
      <w:r w:rsidR="00C935CA">
        <w:rPr>
          <w:i/>
          <w:iCs/>
          <w:color w:val="000000" w:themeColor="text1"/>
          <w:shd w:val="clear" w:color="auto" w:fill="FFFFFF"/>
        </w:rPr>
        <w:t xml:space="preserve">ponoszonych </w:t>
      </w:r>
      <w:r>
        <w:rPr>
          <w:i/>
          <w:iCs/>
          <w:color w:val="000000" w:themeColor="text1"/>
          <w:shd w:val="clear" w:color="auto" w:fill="FFFFFF"/>
        </w:rPr>
        <w:t>opłat za działania</w:t>
      </w:r>
      <w:r w:rsidRPr="002661FE">
        <w:rPr>
          <w:i/>
          <w:iCs/>
          <w:color w:val="000000" w:themeColor="text1"/>
          <w:shd w:val="clear" w:color="auto" w:fill="FFFFFF"/>
        </w:rPr>
        <w:t xml:space="preserve"> reklamow</w:t>
      </w:r>
      <w:r>
        <w:rPr>
          <w:i/>
          <w:iCs/>
          <w:color w:val="000000" w:themeColor="text1"/>
          <w:shd w:val="clear" w:color="auto" w:fill="FFFFFF"/>
        </w:rPr>
        <w:t>e</w:t>
      </w:r>
      <w:r w:rsidRPr="002661FE">
        <w:rPr>
          <w:i/>
          <w:iCs/>
          <w:color w:val="000000" w:themeColor="text1"/>
          <w:shd w:val="clear" w:color="auto" w:fill="FFFFFF"/>
        </w:rPr>
        <w:t>, doradcz</w:t>
      </w:r>
      <w:r>
        <w:rPr>
          <w:i/>
          <w:iCs/>
          <w:color w:val="000000" w:themeColor="text1"/>
          <w:shd w:val="clear" w:color="auto" w:fill="FFFFFF"/>
        </w:rPr>
        <w:t xml:space="preserve">e, </w:t>
      </w:r>
      <w:r w:rsidRPr="002661FE">
        <w:rPr>
          <w:i/>
          <w:iCs/>
          <w:color w:val="000000" w:themeColor="text1"/>
          <w:shd w:val="clear" w:color="auto" w:fill="FFFFFF"/>
        </w:rPr>
        <w:t>prawa do korzystania ze znaków zastrzeżonych</w:t>
      </w:r>
      <w:r>
        <w:rPr>
          <w:i/>
          <w:iCs/>
          <w:color w:val="000000" w:themeColor="text1"/>
          <w:shd w:val="clear" w:color="auto" w:fill="FFFFFF"/>
        </w:rPr>
        <w:t xml:space="preserve"> czy</w:t>
      </w:r>
      <w:r w:rsidRPr="002661FE">
        <w:rPr>
          <w:i/>
          <w:iCs/>
          <w:color w:val="000000" w:themeColor="text1"/>
          <w:shd w:val="clear" w:color="auto" w:fill="FFFFFF"/>
        </w:rPr>
        <w:t xml:space="preserve"> inn</w:t>
      </w:r>
      <w:r>
        <w:rPr>
          <w:i/>
          <w:iCs/>
          <w:color w:val="000000" w:themeColor="text1"/>
          <w:shd w:val="clear" w:color="auto" w:fill="FFFFFF"/>
        </w:rPr>
        <w:t>ych</w:t>
      </w:r>
      <w:r w:rsidRPr="002661FE">
        <w:rPr>
          <w:i/>
          <w:iCs/>
          <w:color w:val="000000" w:themeColor="text1"/>
          <w:shd w:val="clear" w:color="auto" w:fill="FFFFFF"/>
        </w:rPr>
        <w:t xml:space="preserve"> niematerialn</w:t>
      </w:r>
      <w:r>
        <w:rPr>
          <w:i/>
          <w:iCs/>
          <w:color w:val="000000" w:themeColor="text1"/>
          <w:shd w:val="clear" w:color="auto" w:fill="FFFFFF"/>
        </w:rPr>
        <w:t>ych</w:t>
      </w:r>
      <w:r w:rsidRPr="002661FE">
        <w:rPr>
          <w:i/>
          <w:iCs/>
          <w:color w:val="000000" w:themeColor="text1"/>
          <w:shd w:val="clear" w:color="auto" w:fill="FFFFFF"/>
        </w:rPr>
        <w:t xml:space="preserve"> usług. Zmiany mają więc </w:t>
      </w:r>
      <w:r>
        <w:rPr>
          <w:i/>
          <w:iCs/>
          <w:color w:val="000000" w:themeColor="text1"/>
          <w:shd w:val="clear" w:color="auto" w:fill="FFFFFF"/>
        </w:rPr>
        <w:t>uniemożliwić</w:t>
      </w:r>
      <w:r w:rsidRPr="002661FE">
        <w:rPr>
          <w:i/>
          <w:iCs/>
          <w:color w:val="000000" w:themeColor="text1"/>
          <w:shd w:val="clear" w:color="auto" w:fill="FFFFFF"/>
        </w:rPr>
        <w:t xml:space="preserve"> firm</w:t>
      </w:r>
      <w:r>
        <w:rPr>
          <w:i/>
          <w:iCs/>
          <w:color w:val="000000" w:themeColor="text1"/>
          <w:shd w:val="clear" w:color="auto" w:fill="FFFFFF"/>
        </w:rPr>
        <w:t>om</w:t>
      </w:r>
      <w:r w:rsidRPr="002661FE">
        <w:rPr>
          <w:i/>
          <w:iCs/>
          <w:color w:val="000000" w:themeColor="text1"/>
          <w:shd w:val="clear" w:color="auto" w:fill="FFFFFF"/>
        </w:rPr>
        <w:t xml:space="preserve"> mając</w:t>
      </w:r>
      <w:r>
        <w:rPr>
          <w:i/>
          <w:iCs/>
          <w:color w:val="000000" w:themeColor="text1"/>
          <w:shd w:val="clear" w:color="auto" w:fill="FFFFFF"/>
        </w:rPr>
        <w:t>ym</w:t>
      </w:r>
      <w:r w:rsidRPr="002661FE">
        <w:rPr>
          <w:i/>
          <w:iCs/>
          <w:color w:val="000000" w:themeColor="text1"/>
          <w:shd w:val="clear" w:color="auto" w:fill="FFFFFF"/>
        </w:rPr>
        <w:t xml:space="preserve"> rezydencję podatkową na terenie Polski unika</w:t>
      </w:r>
      <w:r>
        <w:rPr>
          <w:i/>
          <w:iCs/>
          <w:color w:val="000000" w:themeColor="text1"/>
          <w:shd w:val="clear" w:color="auto" w:fill="FFFFFF"/>
        </w:rPr>
        <w:t>nia</w:t>
      </w:r>
      <w:r w:rsidRPr="002661FE">
        <w:rPr>
          <w:i/>
          <w:iCs/>
          <w:color w:val="000000" w:themeColor="text1"/>
          <w:shd w:val="clear" w:color="auto" w:fill="FFFFFF"/>
        </w:rPr>
        <w:t xml:space="preserve"> opodatkowania, </w:t>
      </w:r>
      <w:r w:rsidR="00C935CA">
        <w:rPr>
          <w:i/>
          <w:iCs/>
          <w:color w:val="000000" w:themeColor="text1"/>
          <w:shd w:val="clear" w:color="auto" w:fill="FFFFFF"/>
        </w:rPr>
        <w:t>poprzez zapłatę</w:t>
      </w:r>
      <w:r w:rsidRPr="002661FE">
        <w:rPr>
          <w:i/>
          <w:iCs/>
          <w:color w:val="000000" w:themeColor="text1"/>
          <w:shd w:val="clear" w:color="auto" w:fill="FFFFFF"/>
        </w:rPr>
        <w:t xml:space="preserve"> </w:t>
      </w:r>
      <w:r w:rsidR="00C935CA" w:rsidRPr="002661FE">
        <w:rPr>
          <w:i/>
          <w:iCs/>
          <w:color w:val="000000" w:themeColor="text1"/>
          <w:shd w:val="clear" w:color="auto" w:fill="FFFFFF"/>
        </w:rPr>
        <w:t>gigantyczn</w:t>
      </w:r>
      <w:r w:rsidR="00C935CA">
        <w:rPr>
          <w:i/>
          <w:iCs/>
          <w:color w:val="000000" w:themeColor="text1"/>
          <w:shd w:val="clear" w:color="auto" w:fill="FFFFFF"/>
        </w:rPr>
        <w:t>ych</w:t>
      </w:r>
      <w:r w:rsidR="00C935CA" w:rsidRPr="002661FE">
        <w:rPr>
          <w:i/>
          <w:iCs/>
          <w:color w:val="000000" w:themeColor="text1"/>
          <w:shd w:val="clear" w:color="auto" w:fill="FFFFFF"/>
        </w:rPr>
        <w:t xml:space="preserve"> </w:t>
      </w:r>
      <w:r w:rsidRPr="002661FE">
        <w:rPr>
          <w:i/>
          <w:iCs/>
          <w:color w:val="000000" w:themeColor="text1"/>
          <w:shd w:val="clear" w:color="auto" w:fill="FFFFFF"/>
        </w:rPr>
        <w:t>kwot np. za prawo do używania znaku towarowego powiązanemu podmiotowi zagranicznemu</w:t>
      </w:r>
      <w:r w:rsidRPr="002661FE">
        <w:rPr>
          <w:color w:val="000000" w:themeColor="text1"/>
          <w:shd w:val="clear" w:color="auto" w:fill="FFFFFF"/>
        </w:rPr>
        <w:t xml:space="preserve"> – tłumaczy Teresa Warska, ekspert </w:t>
      </w:r>
      <w:r w:rsidR="00031BFA">
        <w:rPr>
          <w:color w:val="000000" w:themeColor="text1"/>
          <w:shd w:val="clear" w:color="auto" w:fill="FFFFFF"/>
        </w:rPr>
        <w:br/>
      </w:r>
      <w:r w:rsidRPr="002661FE">
        <w:rPr>
          <w:color w:val="000000" w:themeColor="text1"/>
          <w:shd w:val="clear" w:color="auto" w:fill="FFFFFF"/>
        </w:rPr>
        <w:t xml:space="preserve">ds. podatków w </w:t>
      </w:r>
      <w:proofErr w:type="spellStart"/>
      <w:r w:rsidRPr="002661FE">
        <w:rPr>
          <w:color w:val="000000" w:themeColor="text1"/>
          <w:shd w:val="clear" w:color="auto" w:fill="FFFFFF"/>
        </w:rPr>
        <w:t>Systim</w:t>
      </w:r>
      <w:proofErr w:type="spellEnd"/>
      <w:r w:rsidRPr="002661FE">
        <w:rPr>
          <w:color w:val="000000" w:themeColor="text1"/>
          <w:shd w:val="clear" w:color="auto" w:fill="FFFFFF"/>
        </w:rPr>
        <w:t>.</w:t>
      </w:r>
    </w:p>
    <w:p w14:paraId="2A49B3AE" w14:textId="77777777" w:rsidR="00117C62" w:rsidRPr="002661FE" w:rsidRDefault="00117C62" w:rsidP="00117C62">
      <w:pPr>
        <w:jc w:val="both"/>
        <w:rPr>
          <w:color w:val="000000" w:themeColor="text1"/>
          <w:shd w:val="clear" w:color="auto" w:fill="FFFFFF"/>
        </w:rPr>
      </w:pPr>
    </w:p>
    <w:p w14:paraId="687EF625" w14:textId="77777777" w:rsidR="00117C62" w:rsidRPr="00940222" w:rsidRDefault="00117C62" w:rsidP="00117C62">
      <w:pPr>
        <w:jc w:val="both"/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t>Jak będzie wyglądał podatek</w:t>
      </w:r>
    </w:p>
    <w:p w14:paraId="69B5E4C5" w14:textId="77777777" w:rsidR="00117C62" w:rsidRDefault="00117C62" w:rsidP="00117C62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Nowe prawo stanowi, że podatnik </w:t>
      </w:r>
      <w:r w:rsidRPr="00221625">
        <w:rPr>
          <w:color w:val="000000" w:themeColor="text1"/>
          <w:shd w:val="clear" w:color="auto" w:fill="FFFFFF"/>
        </w:rPr>
        <w:t>będzie zobowiązany do odprowadzania CIT od przerzuconych dochodów</w:t>
      </w:r>
      <w:r>
        <w:rPr>
          <w:color w:val="000000" w:themeColor="text1"/>
          <w:shd w:val="clear" w:color="auto" w:fill="FFFFFF"/>
        </w:rPr>
        <w:t>,</w:t>
      </w:r>
      <w:r w:rsidRPr="00221625">
        <w:rPr>
          <w:color w:val="000000" w:themeColor="text1"/>
          <w:shd w:val="clear" w:color="auto" w:fill="FFFFFF"/>
        </w:rPr>
        <w:t xml:space="preserve"> jeżeli faktycznie zapłacony podatek dochodowy za rok</w:t>
      </w:r>
      <w:r>
        <w:rPr>
          <w:color w:val="000000" w:themeColor="text1"/>
          <w:shd w:val="clear" w:color="auto" w:fill="FFFFFF"/>
        </w:rPr>
        <w:t>,</w:t>
      </w:r>
      <w:r w:rsidRPr="00221625">
        <w:rPr>
          <w:color w:val="000000" w:themeColor="text1"/>
          <w:shd w:val="clear" w:color="auto" w:fill="FFFFFF"/>
        </w:rPr>
        <w:t xml:space="preserve"> w którym otrzymał należność </w:t>
      </w:r>
      <w:r>
        <w:rPr>
          <w:color w:val="000000" w:themeColor="text1"/>
          <w:shd w:val="clear" w:color="auto" w:fill="FFFFFF"/>
        </w:rPr>
        <w:br/>
      </w:r>
      <w:r w:rsidRPr="00221625">
        <w:rPr>
          <w:color w:val="000000" w:themeColor="text1"/>
          <w:shd w:val="clear" w:color="auto" w:fill="FFFFFF"/>
        </w:rPr>
        <w:t>w państwie rezydencji jest niższy o co najmniej 25% od kwoty podatku, który byłby należny</w:t>
      </w:r>
      <w:r>
        <w:rPr>
          <w:color w:val="000000" w:themeColor="text1"/>
          <w:shd w:val="clear" w:color="auto" w:fill="FFFFFF"/>
        </w:rPr>
        <w:t>,</w:t>
      </w:r>
      <w:r w:rsidRPr="00221625">
        <w:rPr>
          <w:color w:val="000000" w:themeColor="text1"/>
          <w:shd w:val="clear" w:color="auto" w:fill="FFFFFF"/>
        </w:rPr>
        <w:t xml:space="preserve"> gdyby zastosować </w:t>
      </w:r>
      <w:r w:rsidRPr="00221625">
        <w:rPr>
          <w:color w:val="000000" w:themeColor="text1"/>
        </w:rPr>
        <w:t>19</w:t>
      </w:r>
      <w:r>
        <w:rPr>
          <w:color w:val="000000" w:themeColor="text1"/>
        </w:rPr>
        <w:t>% stawkę CIT.</w:t>
      </w:r>
    </w:p>
    <w:p w14:paraId="2E61ED88" w14:textId="71DEE350" w:rsidR="00117C62" w:rsidRDefault="00117C62" w:rsidP="00117C62">
      <w:pPr>
        <w:jc w:val="both"/>
        <w:rPr>
          <w:color w:val="000000" w:themeColor="text1"/>
        </w:rPr>
      </w:pPr>
      <w:r w:rsidRPr="002661FE">
        <w:rPr>
          <w:color w:val="000000" w:themeColor="text1"/>
        </w:rPr>
        <w:t xml:space="preserve">– </w:t>
      </w:r>
      <w:r w:rsidRPr="002661FE">
        <w:rPr>
          <w:i/>
          <w:iCs/>
          <w:color w:val="000000" w:themeColor="text1"/>
        </w:rPr>
        <w:t>Warunkiem</w:t>
      </w:r>
      <w:r>
        <w:rPr>
          <w:i/>
          <w:iCs/>
          <w:color w:val="000000" w:themeColor="text1"/>
        </w:rPr>
        <w:t xml:space="preserve"> powstania obowiązku podatkowego</w:t>
      </w:r>
      <w:r w:rsidRPr="002661FE">
        <w:rPr>
          <w:i/>
          <w:iCs/>
          <w:color w:val="000000" w:themeColor="text1"/>
        </w:rPr>
        <w:t xml:space="preserve"> jest</w:t>
      </w:r>
      <w:r w:rsidR="00B653E1">
        <w:rPr>
          <w:i/>
          <w:iCs/>
          <w:color w:val="000000" w:themeColor="text1"/>
        </w:rPr>
        <w:t xml:space="preserve"> to</w:t>
      </w:r>
      <w:r w:rsidRPr="002661FE">
        <w:rPr>
          <w:i/>
          <w:iCs/>
          <w:color w:val="000000" w:themeColor="text1"/>
        </w:rPr>
        <w:t xml:space="preserve">, aby wymienione w ustawie </w:t>
      </w:r>
      <w:r>
        <w:rPr>
          <w:i/>
          <w:iCs/>
          <w:color w:val="000000" w:themeColor="text1"/>
        </w:rPr>
        <w:t>koszty</w:t>
      </w:r>
      <w:r w:rsidRPr="002661FE">
        <w:rPr>
          <w:i/>
          <w:iCs/>
          <w:color w:val="000000" w:themeColor="text1"/>
        </w:rPr>
        <w:t xml:space="preserve"> stanowiły co najmniej 50% wartości uzyskanych przychodów</w:t>
      </w:r>
      <w:r>
        <w:rPr>
          <w:i/>
          <w:iCs/>
          <w:color w:val="000000" w:themeColor="text1"/>
        </w:rPr>
        <w:t xml:space="preserve"> </w:t>
      </w:r>
      <w:r w:rsidR="00B653E1">
        <w:rPr>
          <w:i/>
          <w:iCs/>
          <w:color w:val="000000" w:themeColor="text1"/>
        </w:rPr>
        <w:t xml:space="preserve">podmiotu powiązanego, </w:t>
      </w:r>
      <w:r>
        <w:rPr>
          <w:i/>
          <w:iCs/>
          <w:color w:val="000000" w:themeColor="text1"/>
        </w:rPr>
        <w:t xml:space="preserve">w rozumieniu przepisów </w:t>
      </w:r>
      <w:r w:rsidR="00A55818">
        <w:rPr>
          <w:i/>
          <w:iCs/>
          <w:color w:val="000000" w:themeColor="text1"/>
        </w:rPr>
        <w:br/>
      </w:r>
      <w:r>
        <w:rPr>
          <w:i/>
          <w:iCs/>
          <w:color w:val="000000" w:themeColor="text1"/>
        </w:rPr>
        <w:t>o podatku dochodowym lub</w:t>
      </w:r>
      <w:r w:rsidR="00C1288E">
        <w:rPr>
          <w:i/>
          <w:iCs/>
          <w:color w:val="000000" w:themeColor="text1"/>
        </w:rPr>
        <w:t xml:space="preserve"> przepisów</w:t>
      </w:r>
      <w:r>
        <w:rPr>
          <w:i/>
          <w:iCs/>
          <w:color w:val="000000" w:themeColor="text1"/>
        </w:rPr>
        <w:t xml:space="preserve"> o rachunkowości</w:t>
      </w:r>
      <w:r w:rsidRPr="002661FE">
        <w:rPr>
          <w:color w:val="000000" w:themeColor="text1"/>
        </w:rPr>
        <w:t xml:space="preserve"> – </w:t>
      </w:r>
      <w:r>
        <w:rPr>
          <w:color w:val="000000" w:themeColor="text1"/>
        </w:rPr>
        <w:t>wyjaśnia</w:t>
      </w:r>
      <w:r w:rsidRPr="002661FE">
        <w:rPr>
          <w:color w:val="000000" w:themeColor="text1"/>
        </w:rPr>
        <w:t xml:space="preserve"> ekspert. </w:t>
      </w:r>
    </w:p>
    <w:p w14:paraId="4FDFB5CD" w14:textId="77777777" w:rsidR="00A55818" w:rsidRDefault="00A55818" w:rsidP="00117C62">
      <w:pPr>
        <w:jc w:val="both"/>
        <w:rPr>
          <w:color w:val="000000" w:themeColor="text1"/>
        </w:rPr>
      </w:pPr>
    </w:p>
    <w:p w14:paraId="1114114B" w14:textId="77777777" w:rsidR="00A55818" w:rsidRDefault="00A55818" w:rsidP="00117C62">
      <w:pPr>
        <w:tabs>
          <w:tab w:val="right" w:pos="9072"/>
        </w:tabs>
        <w:jc w:val="both"/>
        <w:rPr>
          <w:b/>
          <w:bCs/>
          <w:color w:val="000000" w:themeColor="text1"/>
        </w:rPr>
      </w:pPr>
    </w:p>
    <w:p w14:paraId="7DE256A4" w14:textId="1732C09D" w:rsidR="00117C62" w:rsidRPr="00FB31E7" w:rsidRDefault="00117C62" w:rsidP="00117C62">
      <w:pPr>
        <w:tabs>
          <w:tab w:val="right" w:pos="9072"/>
        </w:tabs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Niematerialne koszty do opodatkowania</w:t>
      </w:r>
      <w:r>
        <w:rPr>
          <w:b/>
          <w:bCs/>
          <w:color w:val="000000" w:themeColor="text1"/>
        </w:rPr>
        <w:tab/>
      </w:r>
    </w:p>
    <w:p w14:paraId="6F22D96C" w14:textId="77777777" w:rsidR="00117C62" w:rsidRPr="002661FE" w:rsidRDefault="00117C62" w:rsidP="00117C62">
      <w:pPr>
        <w:jc w:val="both"/>
        <w:rPr>
          <w:color w:val="000000" w:themeColor="text1"/>
        </w:rPr>
      </w:pPr>
      <w:r w:rsidRPr="002661FE">
        <w:rPr>
          <w:color w:val="000000" w:themeColor="text1"/>
        </w:rPr>
        <w:t>Co będzie zaliczać się do kosztów objętych opodatkowanie</w:t>
      </w:r>
      <w:r>
        <w:rPr>
          <w:color w:val="000000" w:themeColor="text1"/>
        </w:rPr>
        <w:t>m</w:t>
      </w:r>
      <w:r w:rsidRPr="002661FE">
        <w:rPr>
          <w:color w:val="000000" w:themeColor="text1"/>
        </w:rPr>
        <w:t>? Będą to między innymi usługi doradcze, badania rynku, usługi reklamowe, zarządzania i kontroli, opłaty za korzystanie lub prawo do korzystania z praw lub wartości, przeniesienia ryzyka niewypłacalności dłużnika z tytułu pożyczek czy też koszty finansowania dłużnego związane z uzyskaniem środków finansowych i korzystaniem z tych środków.</w:t>
      </w:r>
    </w:p>
    <w:p w14:paraId="26FBEA37" w14:textId="77777777" w:rsidR="00117C62" w:rsidRDefault="00117C62" w:rsidP="00117C62">
      <w:pPr>
        <w:jc w:val="both"/>
        <w:rPr>
          <w:color w:val="000000" w:themeColor="text1"/>
        </w:rPr>
      </w:pPr>
      <w:r w:rsidRPr="002661FE">
        <w:rPr>
          <w:color w:val="000000" w:themeColor="text1"/>
        </w:rPr>
        <w:t>Jeżeli wymienione koszty będą stanowić co najmniej 3% sumy wszystkich kosztów uzyskania przychodu będą one podlegać opodatkowaniu 19% CIT.</w:t>
      </w:r>
    </w:p>
    <w:p w14:paraId="2954FBB3" w14:textId="77777777" w:rsidR="00117C62" w:rsidRPr="002661FE" w:rsidRDefault="00117C62" w:rsidP="00117C62">
      <w:pPr>
        <w:jc w:val="both"/>
        <w:rPr>
          <w:color w:val="000000" w:themeColor="text1"/>
        </w:rPr>
      </w:pPr>
    </w:p>
    <w:p w14:paraId="3C48D2F3" w14:textId="77777777" w:rsidR="00117C62" w:rsidRPr="00FB31E7" w:rsidRDefault="00117C62" w:rsidP="00117C62">
      <w:pPr>
        <w:jc w:val="both"/>
        <w:rPr>
          <w:b/>
          <w:bCs/>
          <w:color w:val="000000" w:themeColor="text1"/>
        </w:rPr>
      </w:pPr>
      <w:r w:rsidRPr="00FB31E7">
        <w:rPr>
          <w:b/>
          <w:bCs/>
          <w:color w:val="000000" w:themeColor="text1"/>
        </w:rPr>
        <w:t>Czy zmiany będą skuteczne?</w:t>
      </w:r>
    </w:p>
    <w:p w14:paraId="50D194B6" w14:textId="544E48D2" w:rsidR="00117C62" w:rsidRPr="00940222" w:rsidRDefault="00117C62" w:rsidP="00607A8F">
      <w:pPr>
        <w:jc w:val="both"/>
        <w:rPr>
          <w:i/>
          <w:iCs/>
          <w:color w:val="000000" w:themeColor="text1"/>
        </w:rPr>
      </w:pPr>
      <w:r>
        <w:rPr>
          <w:color w:val="000000" w:themeColor="text1"/>
        </w:rPr>
        <w:t>–</w:t>
      </w:r>
      <w:r w:rsidRPr="002661FE">
        <w:rPr>
          <w:color w:val="000000" w:themeColor="text1"/>
        </w:rPr>
        <w:t xml:space="preserve"> </w:t>
      </w:r>
      <w:r w:rsidRPr="00FB31E7">
        <w:rPr>
          <w:i/>
          <w:iCs/>
          <w:color w:val="000000" w:themeColor="text1"/>
        </w:rPr>
        <w:t>Podatek nie będzie obejmował płatności na rzecz podmiotów z terenu</w:t>
      </w:r>
      <w:r>
        <w:rPr>
          <w:i/>
          <w:iCs/>
          <w:color w:val="000000" w:themeColor="text1"/>
        </w:rPr>
        <w:t xml:space="preserve"> Europejskiego Obszaru Gospodarczego, czyli Unii Europejskiej oraz Islandii, Lichtensteinu, Norwegii i Szwajcarii. O ile więc firmy nie będą już transferowały dochodów </w:t>
      </w:r>
      <w:r w:rsidR="00D14D68">
        <w:rPr>
          <w:i/>
          <w:iCs/>
          <w:color w:val="000000" w:themeColor="text1"/>
        </w:rPr>
        <w:t>do tzw. rajów podatk</w:t>
      </w:r>
      <w:r w:rsidR="00A55818">
        <w:rPr>
          <w:i/>
          <w:iCs/>
          <w:color w:val="000000" w:themeColor="text1"/>
        </w:rPr>
        <w:t>o</w:t>
      </w:r>
      <w:r w:rsidR="00D14D68">
        <w:rPr>
          <w:i/>
          <w:iCs/>
          <w:color w:val="000000" w:themeColor="text1"/>
        </w:rPr>
        <w:t>wych</w:t>
      </w:r>
      <w:r>
        <w:rPr>
          <w:i/>
          <w:iCs/>
          <w:color w:val="000000" w:themeColor="text1"/>
        </w:rPr>
        <w:t xml:space="preserve">, o tyle wciąż będzie to możliwe na terenie EOG. A stawka podatku CIT w krajach członkowskich nie jest jednolita. Na Węgrzech wynosi 9%, a w Irlandii 12,5%, co może być zachęcające dla dużych korporacji </w:t>
      </w:r>
      <w:r>
        <w:rPr>
          <w:color w:val="000000" w:themeColor="text1"/>
        </w:rPr>
        <w:t>– zauważa specjalistka Systim.pl</w:t>
      </w:r>
      <w:r w:rsidRPr="002661FE">
        <w:rPr>
          <w:color w:val="000000" w:themeColor="text1"/>
        </w:rPr>
        <w:t xml:space="preserve"> </w:t>
      </w:r>
    </w:p>
    <w:p w14:paraId="1342DB31" w14:textId="1F8FD783" w:rsidR="00117C62" w:rsidRPr="00221625" w:rsidRDefault="00117C62" w:rsidP="00607A8F">
      <w:pPr>
        <w:jc w:val="both"/>
      </w:pPr>
      <w:r w:rsidRPr="00221625">
        <w:rPr>
          <w:color w:val="000000" w:themeColor="text1"/>
          <w:shd w:val="clear" w:color="auto" w:fill="FFFFFF"/>
        </w:rPr>
        <w:t xml:space="preserve">Ustawa z dnia </w:t>
      </w:r>
      <w:r w:rsidRPr="00221625">
        <w:rPr>
          <w:color w:val="000000" w:themeColor="text1"/>
        </w:rPr>
        <w:t>29 października 2021 r. o zmianie ustawy o podatku dochodowym od osób fizycznych, ustawy o podatku dochodowym od osób prawnych oraz niektórych innych ustaw, której dotyczą omawiane zmiany</w:t>
      </w:r>
      <w:r w:rsidR="009A5623">
        <w:rPr>
          <w:color w:val="000000" w:themeColor="text1"/>
        </w:rPr>
        <w:t xml:space="preserve"> opublikowana została 23.11.2021 r. w Dzienniku Ustaw</w:t>
      </w:r>
      <w:r w:rsidRPr="00221625">
        <w:rPr>
          <w:color w:val="000000" w:themeColor="text1"/>
        </w:rPr>
        <w:t xml:space="preserve">. </w:t>
      </w:r>
      <w:r>
        <w:rPr>
          <w:color w:val="000000" w:themeColor="text1"/>
        </w:rPr>
        <w:t>Podatek CIT od przerzucanych dochodów zacznie obowiązywać od 2022 roku.</w:t>
      </w:r>
      <w:r w:rsidRPr="00221625">
        <w:rPr>
          <w:color w:val="000000" w:themeColor="text1"/>
        </w:rPr>
        <w:t xml:space="preserve"> </w:t>
      </w:r>
    </w:p>
    <w:p w14:paraId="1DACF4E7" w14:textId="77777777" w:rsidR="00B500C4" w:rsidRDefault="00B500C4" w:rsidP="00607A8F">
      <w:pPr>
        <w:jc w:val="both"/>
        <w:rPr>
          <w:b/>
          <w:bCs/>
          <w:color w:val="000000" w:themeColor="text1"/>
          <w:sz w:val="28"/>
          <w:szCs w:val="28"/>
        </w:rPr>
      </w:pPr>
    </w:p>
    <w:p w14:paraId="0ED5C5B0" w14:textId="77777777" w:rsidR="00E20C74" w:rsidRPr="00E20C74" w:rsidRDefault="00E20C74" w:rsidP="00E20C74">
      <w:pPr>
        <w:jc w:val="both"/>
      </w:pPr>
    </w:p>
    <w:p w14:paraId="540553E7" w14:textId="6F28F40C" w:rsidR="00C46E25" w:rsidRPr="009F40A9" w:rsidRDefault="00BA3E1D" w:rsidP="00C46E25">
      <w:pPr>
        <w:jc w:val="center"/>
        <w:rPr>
          <w:bCs/>
          <w:color w:val="000000" w:themeColor="text1"/>
          <w:sz w:val="18"/>
          <w:szCs w:val="18"/>
        </w:rPr>
      </w:pPr>
      <w:r w:rsidRPr="009F40A9">
        <w:rPr>
          <w:bCs/>
          <w:color w:val="000000" w:themeColor="text1"/>
          <w:sz w:val="18"/>
          <w:szCs w:val="18"/>
        </w:rPr>
        <w:t>***</w:t>
      </w:r>
    </w:p>
    <w:p w14:paraId="30EC67F9" w14:textId="7BA9DCA1" w:rsidR="00BA3E1D" w:rsidRPr="00E20C74" w:rsidRDefault="00BA3E1D" w:rsidP="00BA3E1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proofErr w:type="spellStart"/>
      <w:r w:rsidRPr="00E20C74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Systim</w:t>
      </w:r>
      <w:proofErr w:type="spellEnd"/>
      <w:r w:rsidRPr="00E20C74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(</w:t>
      </w:r>
      <w:hyperlink r:id="rId8" w:history="1">
        <w:r w:rsidRPr="00E20C74">
          <w:rPr>
            <w:rStyle w:val="Hipercze"/>
            <w:rFonts w:asciiTheme="minorHAnsi" w:hAnsiTheme="minorHAnsi" w:cstheme="minorHAnsi"/>
            <w:bCs/>
            <w:color w:val="000000" w:themeColor="text1"/>
            <w:sz w:val="18"/>
            <w:szCs w:val="18"/>
          </w:rPr>
          <w:t>www.systim.pl</w:t>
        </w:r>
      </w:hyperlink>
      <w:r w:rsidRPr="00E20C74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) to nowoczesny program łączący zalety programów do zarządzania firmą (faktury, magazyn), współpracy grupowej, CRM, ERP i systemów typu Intranet, przeznaczony dla mikro, małych i średnich firm. </w:t>
      </w:r>
      <w:proofErr w:type="spellStart"/>
      <w:r w:rsidRPr="00E20C74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Systim</w:t>
      </w:r>
      <w:proofErr w:type="spellEnd"/>
      <w:r w:rsidRPr="00E20C74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stawia na nową jakość w programach do obsługi firmy online. W pełni realizuje nowoczesny koncept pracy w tzw. chmurze ("</w:t>
      </w:r>
      <w:proofErr w:type="spellStart"/>
      <w:r w:rsidRPr="00E20C74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cloud</w:t>
      </w:r>
      <w:proofErr w:type="spellEnd"/>
      <w:r w:rsidRPr="00E20C74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"), jest aplikacją dostępną z każdego miejsca na świecie przy wykorzystaniu powszechnie dostępnego Internetu, oraz dowolnej przeglądarki internetowej. Jest aplikacją łatwą w obsłudze i wymaga zero obsługi przedwdrożeniowej i obsługowej. Dostępny jest 24 godziny na dobę 7 dni w tygodniu, 365 dni w roku.</w:t>
      </w:r>
    </w:p>
    <w:p w14:paraId="382A024F" w14:textId="481CDC94" w:rsidR="00BA3E1D" w:rsidRDefault="00BA3E1D" w:rsidP="00982D1C">
      <w:pPr>
        <w:jc w:val="both"/>
        <w:rPr>
          <w:b/>
          <w:color w:val="000000" w:themeColor="text1"/>
          <w:sz w:val="21"/>
          <w:szCs w:val="21"/>
        </w:rPr>
      </w:pPr>
    </w:p>
    <w:p w14:paraId="1647030B" w14:textId="77777777" w:rsidR="00A93BC2" w:rsidRPr="009F40A9" w:rsidRDefault="00A93BC2" w:rsidP="00982D1C">
      <w:pPr>
        <w:jc w:val="both"/>
        <w:rPr>
          <w:b/>
          <w:color w:val="000000" w:themeColor="text1"/>
          <w:sz w:val="21"/>
          <w:szCs w:val="21"/>
        </w:rPr>
      </w:pPr>
    </w:p>
    <w:p w14:paraId="39B1760D" w14:textId="77777777" w:rsidR="00A93BC2" w:rsidRDefault="00A93BC2" w:rsidP="00E20C74">
      <w:pPr>
        <w:jc w:val="center"/>
        <w:rPr>
          <w:b/>
          <w:color w:val="000000" w:themeColor="text1"/>
          <w:sz w:val="21"/>
          <w:szCs w:val="21"/>
        </w:rPr>
      </w:pPr>
    </w:p>
    <w:p w14:paraId="291F2A64" w14:textId="3D4C7857" w:rsidR="0026499E" w:rsidRDefault="00982D1C" w:rsidP="00E20C74">
      <w:pPr>
        <w:jc w:val="center"/>
        <w:rPr>
          <w:b/>
          <w:color w:val="000000" w:themeColor="text1"/>
          <w:sz w:val="21"/>
          <w:szCs w:val="21"/>
        </w:rPr>
      </w:pPr>
      <w:r w:rsidRPr="009F40A9">
        <w:rPr>
          <w:b/>
          <w:color w:val="000000" w:themeColor="text1"/>
          <w:sz w:val="21"/>
          <w:szCs w:val="21"/>
        </w:rPr>
        <w:t>Kontakt dla mediów:</w:t>
      </w:r>
    </w:p>
    <w:p w14:paraId="34FCE2F7" w14:textId="77777777" w:rsidR="00144ED1" w:rsidRPr="009F40A9" w:rsidRDefault="00144ED1" w:rsidP="00E20C74">
      <w:pPr>
        <w:jc w:val="center"/>
        <w:rPr>
          <w:b/>
          <w:color w:val="000000" w:themeColor="text1"/>
          <w:sz w:val="21"/>
          <w:szCs w:val="21"/>
        </w:rPr>
      </w:pPr>
    </w:p>
    <w:p w14:paraId="3C4DE42C" w14:textId="5B11DAAE" w:rsidR="00BA3E1D" w:rsidRPr="00E20C74" w:rsidRDefault="00B500C4" w:rsidP="006E6B6D">
      <w:pPr>
        <w:spacing w:after="0"/>
        <w:jc w:val="center"/>
        <w:rPr>
          <w:bCs/>
          <w:color w:val="000000" w:themeColor="text1"/>
          <w:sz w:val="18"/>
          <w:szCs w:val="18"/>
        </w:rPr>
      </w:pPr>
      <w:r>
        <w:rPr>
          <w:bCs/>
          <w:color w:val="000000" w:themeColor="text1"/>
          <w:sz w:val="18"/>
          <w:szCs w:val="18"/>
        </w:rPr>
        <w:t>Grzegorz Jakielski</w:t>
      </w:r>
    </w:p>
    <w:p w14:paraId="13372D53" w14:textId="299CCA63" w:rsidR="00BA3E1D" w:rsidRPr="00E20C74" w:rsidRDefault="00BA3E1D" w:rsidP="006E6B6D">
      <w:pPr>
        <w:spacing w:after="0"/>
        <w:jc w:val="center"/>
        <w:rPr>
          <w:bCs/>
          <w:color w:val="000000" w:themeColor="text1"/>
          <w:sz w:val="18"/>
          <w:szCs w:val="18"/>
        </w:rPr>
      </w:pPr>
      <w:r w:rsidRPr="00E20C74">
        <w:rPr>
          <w:bCs/>
          <w:color w:val="000000" w:themeColor="text1"/>
          <w:sz w:val="18"/>
          <w:szCs w:val="18"/>
        </w:rPr>
        <w:t xml:space="preserve">Świeża Bazylia </w:t>
      </w:r>
      <w:r w:rsidR="00B500C4">
        <w:rPr>
          <w:bCs/>
          <w:color w:val="000000" w:themeColor="text1"/>
          <w:sz w:val="18"/>
          <w:szCs w:val="18"/>
        </w:rPr>
        <w:t>PR</w:t>
      </w:r>
    </w:p>
    <w:p w14:paraId="46D28B9D" w14:textId="7F0CF328" w:rsidR="00BA3E1D" w:rsidRPr="00E20C74" w:rsidRDefault="00B500C4" w:rsidP="006E6B6D">
      <w:pPr>
        <w:spacing w:after="0"/>
        <w:jc w:val="center"/>
        <w:rPr>
          <w:bCs/>
          <w:color w:val="000000" w:themeColor="text1"/>
          <w:sz w:val="18"/>
          <w:szCs w:val="18"/>
        </w:rPr>
      </w:pPr>
      <w:r>
        <w:rPr>
          <w:bCs/>
          <w:sz w:val="18"/>
          <w:szCs w:val="18"/>
        </w:rPr>
        <w:t>gjakielski@swiezabazylia.pl</w:t>
      </w:r>
      <w:r w:rsidR="00411ACE" w:rsidRPr="00E20C74">
        <w:rPr>
          <w:bCs/>
          <w:color w:val="000000" w:themeColor="text1"/>
          <w:sz w:val="18"/>
          <w:szCs w:val="18"/>
        </w:rPr>
        <w:t xml:space="preserve"> </w:t>
      </w:r>
    </w:p>
    <w:p w14:paraId="587A0C3A" w14:textId="2C89D49E" w:rsidR="00BA3E1D" w:rsidRPr="00E20C74" w:rsidRDefault="00BA3E1D" w:rsidP="006E6B6D">
      <w:pPr>
        <w:spacing w:after="0"/>
        <w:jc w:val="center"/>
        <w:rPr>
          <w:bCs/>
          <w:color w:val="000000" w:themeColor="text1"/>
          <w:sz w:val="18"/>
          <w:szCs w:val="18"/>
        </w:rPr>
      </w:pPr>
      <w:r w:rsidRPr="00E20C74">
        <w:rPr>
          <w:bCs/>
          <w:color w:val="000000" w:themeColor="text1"/>
          <w:sz w:val="18"/>
          <w:szCs w:val="18"/>
        </w:rPr>
        <w:t xml:space="preserve">kom. </w:t>
      </w:r>
      <w:r w:rsidR="00B500C4">
        <w:rPr>
          <w:bCs/>
          <w:color w:val="000000" w:themeColor="text1"/>
          <w:sz w:val="18"/>
          <w:szCs w:val="18"/>
        </w:rPr>
        <w:t>600521455</w:t>
      </w:r>
    </w:p>
    <w:p w14:paraId="2E5B338F" w14:textId="77777777" w:rsidR="00145012" w:rsidRPr="009F40A9" w:rsidRDefault="00145012" w:rsidP="00982D1C">
      <w:pPr>
        <w:rPr>
          <w:color w:val="000000" w:themeColor="text1"/>
        </w:rPr>
      </w:pPr>
    </w:p>
    <w:sectPr w:rsidR="00145012" w:rsidRPr="009F40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C779F" w14:textId="77777777" w:rsidR="006654ED" w:rsidRDefault="006654ED" w:rsidP="00F5294A">
      <w:pPr>
        <w:spacing w:after="0" w:line="240" w:lineRule="auto"/>
      </w:pPr>
      <w:r>
        <w:separator/>
      </w:r>
    </w:p>
  </w:endnote>
  <w:endnote w:type="continuationSeparator" w:id="0">
    <w:p w14:paraId="76725E69" w14:textId="77777777" w:rsidR="006654ED" w:rsidRDefault="006654ED" w:rsidP="00F5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ic A1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6578" w14:textId="77777777" w:rsidR="00204C7D" w:rsidRDefault="00204C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FE94" w14:textId="77777777" w:rsidR="009A51F8" w:rsidRDefault="009A51F8" w:rsidP="00BA3E1D">
    <w:pPr>
      <w:pStyle w:val="Stopka"/>
      <w:jc w:val="center"/>
    </w:pPr>
  </w:p>
  <w:p w14:paraId="359BC0CD" w14:textId="243913EC" w:rsidR="008C510D" w:rsidRDefault="008C510D" w:rsidP="00BA3E1D">
    <w:pPr>
      <w:pStyle w:val="Stopka"/>
      <w:jc w:val="center"/>
    </w:pPr>
    <w:proofErr w:type="spellStart"/>
    <w:r w:rsidRPr="00BA3E1D">
      <w:t>Enadis</w:t>
    </w:r>
    <w:proofErr w:type="spellEnd"/>
    <w:r w:rsidRPr="00BA3E1D">
      <w:t xml:space="preserve"> sp. z o.o.</w:t>
    </w:r>
    <w:r w:rsidRPr="00BA3E1D">
      <w:br/>
      <w:t>ul.</w:t>
    </w:r>
    <w:r>
      <w:t xml:space="preserve"> </w:t>
    </w:r>
    <w:r w:rsidRPr="00BA3E1D">
      <w:t>Morska 149 U2</w:t>
    </w:r>
    <w:r w:rsidRPr="00BA3E1D">
      <w:br/>
    </w:r>
    <w:r>
      <w:t xml:space="preserve">81-222, </w:t>
    </w:r>
    <w:r w:rsidRPr="00BA3E1D">
      <w:t xml:space="preserve">Gdynia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A474" w14:textId="77777777" w:rsidR="00204C7D" w:rsidRDefault="00204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D1163" w14:textId="77777777" w:rsidR="006654ED" w:rsidRDefault="006654ED" w:rsidP="00F5294A">
      <w:pPr>
        <w:spacing w:after="0" w:line="240" w:lineRule="auto"/>
      </w:pPr>
      <w:r>
        <w:separator/>
      </w:r>
    </w:p>
  </w:footnote>
  <w:footnote w:type="continuationSeparator" w:id="0">
    <w:p w14:paraId="69036071" w14:textId="77777777" w:rsidR="006654ED" w:rsidRDefault="006654ED" w:rsidP="00F52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F7FB" w14:textId="77777777" w:rsidR="00204C7D" w:rsidRDefault="00204C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F188" w14:textId="630D7B73" w:rsidR="008C510D" w:rsidRDefault="008C510D" w:rsidP="0042666B">
    <w:pPr>
      <w:pStyle w:val="Nagwek"/>
      <w:jc w:val="right"/>
    </w:pPr>
    <w:r>
      <w:t xml:space="preserve">        </w:t>
    </w:r>
    <w:r>
      <w:rPr>
        <w:noProof/>
        <w:lang w:eastAsia="pl-PL"/>
      </w:rPr>
      <w:drawing>
        <wp:inline distT="0" distB="0" distL="0" distR="0" wp14:anchorId="252F051A" wp14:editId="7301EE21">
          <wp:extent cx="2292218" cy="621764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370" cy="631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45E883" w14:textId="77777777" w:rsidR="009A51F8" w:rsidRDefault="009A51F8" w:rsidP="0042666B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2B81" w14:textId="77777777" w:rsidR="00204C7D" w:rsidRDefault="00204C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DF2"/>
    <w:multiLevelType w:val="multilevel"/>
    <w:tmpl w:val="0184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46"/>
    <w:rsid w:val="00002C15"/>
    <w:rsid w:val="000221A8"/>
    <w:rsid w:val="00023E24"/>
    <w:rsid w:val="00030E69"/>
    <w:rsid w:val="00031BFA"/>
    <w:rsid w:val="00043677"/>
    <w:rsid w:val="0004414B"/>
    <w:rsid w:val="00053527"/>
    <w:rsid w:val="000575A5"/>
    <w:rsid w:val="00067950"/>
    <w:rsid w:val="00070FBB"/>
    <w:rsid w:val="00083C25"/>
    <w:rsid w:val="00084E05"/>
    <w:rsid w:val="00086FA4"/>
    <w:rsid w:val="00090778"/>
    <w:rsid w:val="000A2B0A"/>
    <w:rsid w:val="000A4832"/>
    <w:rsid w:val="000A633C"/>
    <w:rsid w:val="000B5BEE"/>
    <w:rsid w:val="000D631E"/>
    <w:rsid w:val="000D7F5D"/>
    <w:rsid w:val="000E1E87"/>
    <w:rsid w:val="000E2070"/>
    <w:rsid w:val="000E22E4"/>
    <w:rsid w:val="000E7CB3"/>
    <w:rsid w:val="001032C7"/>
    <w:rsid w:val="00117C62"/>
    <w:rsid w:val="001255AC"/>
    <w:rsid w:val="0012609C"/>
    <w:rsid w:val="00127E2D"/>
    <w:rsid w:val="00131DB2"/>
    <w:rsid w:val="001408A8"/>
    <w:rsid w:val="00144580"/>
    <w:rsid w:val="00144ED1"/>
    <w:rsid w:val="00145012"/>
    <w:rsid w:val="001655E0"/>
    <w:rsid w:val="0017285D"/>
    <w:rsid w:val="00181940"/>
    <w:rsid w:val="001B6002"/>
    <w:rsid w:val="001B788C"/>
    <w:rsid w:val="001C1AA3"/>
    <w:rsid w:val="001D2B85"/>
    <w:rsid w:val="001D3FA3"/>
    <w:rsid w:val="001F3EDE"/>
    <w:rsid w:val="001F4EA2"/>
    <w:rsid w:val="00204C7D"/>
    <w:rsid w:val="0021033B"/>
    <w:rsid w:val="00211B5B"/>
    <w:rsid w:val="00213582"/>
    <w:rsid w:val="00215F16"/>
    <w:rsid w:val="00226443"/>
    <w:rsid w:val="002278C2"/>
    <w:rsid w:val="002352E6"/>
    <w:rsid w:val="0024048B"/>
    <w:rsid w:val="00241D1A"/>
    <w:rsid w:val="002423FC"/>
    <w:rsid w:val="0026499E"/>
    <w:rsid w:val="00266B73"/>
    <w:rsid w:val="00277C3D"/>
    <w:rsid w:val="00280137"/>
    <w:rsid w:val="00282852"/>
    <w:rsid w:val="00287F05"/>
    <w:rsid w:val="002916FB"/>
    <w:rsid w:val="002A58BD"/>
    <w:rsid w:val="002B15F9"/>
    <w:rsid w:val="002B6603"/>
    <w:rsid w:val="002C217B"/>
    <w:rsid w:val="002C581C"/>
    <w:rsid w:val="002E0580"/>
    <w:rsid w:val="002E1CD3"/>
    <w:rsid w:val="002E60A5"/>
    <w:rsid w:val="002F09FA"/>
    <w:rsid w:val="002F14FD"/>
    <w:rsid w:val="002F2C86"/>
    <w:rsid w:val="002F4E41"/>
    <w:rsid w:val="003006AA"/>
    <w:rsid w:val="00300A6A"/>
    <w:rsid w:val="003035DF"/>
    <w:rsid w:val="00306207"/>
    <w:rsid w:val="003065A3"/>
    <w:rsid w:val="00322E20"/>
    <w:rsid w:val="00324158"/>
    <w:rsid w:val="00327271"/>
    <w:rsid w:val="00335599"/>
    <w:rsid w:val="003512CE"/>
    <w:rsid w:val="003518F1"/>
    <w:rsid w:val="003562E6"/>
    <w:rsid w:val="00356DA8"/>
    <w:rsid w:val="00374F9E"/>
    <w:rsid w:val="00375FAD"/>
    <w:rsid w:val="0037694C"/>
    <w:rsid w:val="00376A4F"/>
    <w:rsid w:val="00381600"/>
    <w:rsid w:val="00392E71"/>
    <w:rsid w:val="003964D8"/>
    <w:rsid w:val="0039682F"/>
    <w:rsid w:val="00396B0B"/>
    <w:rsid w:val="00397870"/>
    <w:rsid w:val="003A65B9"/>
    <w:rsid w:val="003B461D"/>
    <w:rsid w:val="003B51DE"/>
    <w:rsid w:val="003D0B00"/>
    <w:rsid w:val="003D263C"/>
    <w:rsid w:val="003D6F35"/>
    <w:rsid w:val="003E3BB2"/>
    <w:rsid w:val="003F6E72"/>
    <w:rsid w:val="004019A5"/>
    <w:rsid w:val="00411ACE"/>
    <w:rsid w:val="004123B3"/>
    <w:rsid w:val="00415DB3"/>
    <w:rsid w:val="00422639"/>
    <w:rsid w:val="0042666B"/>
    <w:rsid w:val="004307C7"/>
    <w:rsid w:val="00437143"/>
    <w:rsid w:val="0044026D"/>
    <w:rsid w:val="00446827"/>
    <w:rsid w:val="00453015"/>
    <w:rsid w:val="00453055"/>
    <w:rsid w:val="00457083"/>
    <w:rsid w:val="00473FE5"/>
    <w:rsid w:val="0047648A"/>
    <w:rsid w:val="00481CD6"/>
    <w:rsid w:val="00484A38"/>
    <w:rsid w:val="00492B89"/>
    <w:rsid w:val="00495805"/>
    <w:rsid w:val="0049745F"/>
    <w:rsid w:val="004B195F"/>
    <w:rsid w:val="004C35A8"/>
    <w:rsid w:val="004E3CEA"/>
    <w:rsid w:val="004E4AA4"/>
    <w:rsid w:val="004F037D"/>
    <w:rsid w:val="004F1274"/>
    <w:rsid w:val="004F5A3C"/>
    <w:rsid w:val="004F5CEB"/>
    <w:rsid w:val="004F7431"/>
    <w:rsid w:val="00511636"/>
    <w:rsid w:val="0051467B"/>
    <w:rsid w:val="00515D23"/>
    <w:rsid w:val="00517567"/>
    <w:rsid w:val="005216E5"/>
    <w:rsid w:val="00524973"/>
    <w:rsid w:val="00530640"/>
    <w:rsid w:val="005350EA"/>
    <w:rsid w:val="00535C4F"/>
    <w:rsid w:val="0056039A"/>
    <w:rsid w:val="00563185"/>
    <w:rsid w:val="00564B9F"/>
    <w:rsid w:val="005679EF"/>
    <w:rsid w:val="00570E08"/>
    <w:rsid w:val="0057198A"/>
    <w:rsid w:val="005758B5"/>
    <w:rsid w:val="00575BDA"/>
    <w:rsid w:val="0057668A"/>
    <w:rsid w:val="00583892"/>
    <w:rsid w:val="00583FBC"/>
    <w:rsid w:val="005A2D00"/>
    <w:rsid w:val="005B2D33"/>
    <w:rsid w:val="005B62BC"/>
    <w:rsid w:val="005C2EA7"/>
    <w:rsid w:val="005C4331"/>
    <w:rsid w:val="005C49E8"/>
    <w:rsid w:val="005C516F"/>
    <w:rsid w:val="005D3123"/>
    <w:rsid w:val="005D3E22"/>
    <w:rsid w:val="005E0916"/>
    <w:rsid w:val="005E3B0E"/>
    <w:rsid w:val="005E3D64"/>
    <w:rsid w:val="005E7A66"/>
    <w:rsid w:val="005F15CD"/>
    <w:rsid w:val="005F2095"/>
    <w:rsid w:val="005F62EA"/>
    <w:rsid w:val="006052CD"/>
    <w:rsid w:val="006059FE"/>
    <w:rsid w:val="00607A8F"/>
    <w:rsid w:val="0061386F"/>
    <w:rsid w:val="00620650"/>
    <w:rsid w:val="0062197A"/>
    <w:rsid w:val="00623659"/>
    <w:rsid w:val="0063086A"/>
    <w:rsid w:val="00632259"/>
    <w:rsid w:val="00636F24"/>
    <w:rsid w:val="006371B1"/>
    <w:rsid w:val="006407F1"/>
    <w:rsid w:val="006506F8"/>
    <w:rsid w:val="0065324E"/>
    <w:rsid w:val="006654ED"/>
    <w:rsid w:val="00673FED"/>
    <w:rsid w:val="0067459D"/>
    <w:rsid w:val="00675222"/>
    <w:rsid w:val="00675BAF"/>
    <w:rsid w:val="00676205"/>
    <w:rsid w:val="0067779C"/>
    <w:rsid w:val="00680303"/>
    <w:rsid w:val="0068717B"/>
    <w:rsid w:val="00694322"/>
    <w:rsid w:val="006A06EE"/>
    <w:rsid w:val="006A20E5"/>
    <w:rsid w:val="006A3A20"/>
    <w:rsid w:val="006B3575"/>
    <w:rsid w:val="006B3652"/>
    <w:rsid w:val="006B7D47"/>
    <w:rsid w:val="006C1F7D"/>
    <w:rsid w:val="006D4F27"/>
    <w:rsid w:val="006E6B6D"/>
    <w:rsid w:val="006F2B4E"/>
    <w:rsid w:val="006F2E8A"/>
    <w:rsid w:val="006F30A0"/>
    <w:rsid w:val="006F3E9E"/>
    <w:rsid w:val="006F5621"/>
    <w:rsid w:val="00703F02"/>
    <w:rsid w:val="00733ADC"/>
    <w:rsid w:val="00737A24"/>
    <w:rsid w:val="00740D6D"/>
    <w:rsid w:val="00742A25"/>
    <w:rsid w:val="00744369"/>
    <w:rsid w:val="00746565"/>
    <w:rsid w:val="00746DD7"/>
    <w:rsid w:val="00754BA2"/>
    <w:rsid w:val="00754E92"/>
    <w:rsid w:val="00755516"/>
    <w:rsid w:val="007568B4"/>
    <w:rsid w:val="00756E04"/>
    <w:rsid w:val="00760CB5"/>
    <w:rsid w:val="00780C42"/>
    <w:rsid w:val="00784B8A"/>
    <w:rsid w:val="007855B8"/>
    <w:rsid w:val="007A177A"/>
    <w:rsid w:val="007A2A21"/>
    <w:rsid w:val="007A407B"/>
    <w:rsid w:val="007A4C50"/>
    <w:rsid w:val="007B0B5E"/>
    <w:rsid w:val="007B3FE3"/>
    <w:rsid w:val="007B58CB"/>
    <w:rsid w:val="007D78FB"/>
    <w:rsid w:val="007E2090"/>
    <w:rsid w:val="007E2D0A"/>
    <w:rsid w:val="007E3C45"/>
    <w:rsid w:val="007E5E28"/>
    <w:rsid w:val="007F4ABE"/>
    <w:rsid w:val="00804460"/>
    <w:rsid w:val="00815818"/>
    <w:rsid w:val="0082109B"/>
    <w:rsid w:val="008413A2"/>
    <w:rsid w:val="00844833"/>
    <w:rsid w:val="00846649"/>
    <w:rsid w:val="0085149D"/>
    <w:rsid w:val="00857146"/>
    <w:rsid w:val="008706C6"/>
    <w:rsid w:val="00873417"/>
    <w:rsid w:val="00877A75"/>
    <w:rsid w:val="00882EE4"/>
    <w:rsid w:val="00885507"/>
    <w:rsid w:val="008928CB"/>
    <w:rsid w:val="00893179"/>
    <w:rsid w:val="008A0851"/>
    <w:rsid w:val="008A309F"/>
    <w:rsid w:val="008B096E"/>
    <w:rsid w:val="008B3B28"/>
    <w:rsid w:val="008C2122"/>
    <w:rsid w:val="008C510D"/>
    <w:rsid w:val="008C6FB7"/>
    <w:rsid w:val="008E010A"/>
    <w:rsid w:val="008F0882"/>
    <w:rsid w:val="00912C6C"/>
    <w:rsid w:val="0092700A"/>
    <w:rsid w:val="009279B1"/>
    <w:rsid w:val="00931C27"/>
    <w:rsid w:val="0093243B"/>
    <w:rsid w:val="0093341B"/>
    <w:rsid w:val="00936EC8"/>
    <w:rsid w:val="00941D5D"/>
    <w:rsid w:val="00944638"/>
    <w:rsid w:val="009506F5"/>
    <w:rsid w:val="00951F3D"/>
    <w:rsid w:val="00953ECC"/>
    <w:rsid w:val="00955B70"/>
    <w:rsid w:val="00962BEB"/>
    <w:rsid w:val="00964DCA"/>
    <w:rsid w:val="0096646F"/>
    <w:rsid w:val="009719B9"/>
    <w:rsid w:val="00976981"/>
    <w:rsid w:val="009771AC"/>
    <w:rsid w:val="00982D1C"/>
    <w:rsid w:val="0099096D"/>
    <w:rsid w:val="00992C37"/>
    <w:rsid w:val="00994393"/>
    <w:rsid w:val="009A51F8"/>
    <w:rsid w:val="009A5623"/>
    <w:rsid w:val="009A5EB2"/>
    <w:rsid w:val="009B048E"/>
    <w:rsid w:val="009B2241"/>
    <w:rsid w:val="009B3539"/>
    <w:rsid w:val="009C3CCA"/>
    <w:rsid w:val="009C568B"/>
    <w:rsid w:val="009D149E"/>
    <w:rsid w:val="009E0C73"/>
    <w:rsid w:val="009F203C"/>
    <w:rsid w:val="009F40A9"/>
    <w:rsid w:val="009F53CA"/>
    <w:rsid w:val="009F6D98"/>
    <w:rsid w:val="00A06685"/>
    <w:rsid w:val="00A1239B"/>
    <w:rsid w:val="00A16BC0"/>
    <w:rsid w:val="00A20119"/>
    <w:rsid w:val="00A22910"/>
    <w:rsid w:val="00A23731"/>
    <w:rsid w:val="00A3181B"/>
    <w:rsid w:val="00A33A9B"/>
    <w:rsid w:val="00A41938"/>
    <w:rsid w:val="00A423DF"/>
    <w:rsid w:val="00A453E5"/>
    <w:rsid w:val="00A47E81"/>
    <w:rsid w:val="00A5279C"/>
    <w:rsid w:val="00A535D2"/>
    <w:rsid w:val="00A54961"/>
    <w:rsid w:val="00A55818"/>
    <w:rsid w:val="00A75AC0"/>
    <w:rsid w:val="00A75CC6"/>
    <w:rsid w:val="00A83025"/>
    <w:rsid w:val="00A928B5"/>
    <w:rsid w:val="00A93BC2"/>
    <w:rsid w:val="00A96735"/>
    <w:rsid w:val="00AA57CD"/>
    <w:rsid w:val="00AC329D"/>
    <w:rsid w:val="00AC353F"/>
    <w:rsid w:val="00AC47D6"/>
    <w:rsid w:val="00AE2247"/>
    <w:rsid w:val="00AE2454"/>
    <w:rsid w:val="00AE4881"/>
    <w:rsid w:val="00AE4A34"/>
    <w:rsid w:val="00AE61EA"/>
    <w:rsid w:val="00AF0AD6"/>
    <w:rsid w:val="00AF271A"/>
    <w:rsid w:val="00AF4BBE"/>
    <w:rsid w:val="00AF67BF"/>
    <w:rsid w:val="00B02838"/>
    <w:rsid w:val="00B045A0"/>
    <w:rsid w:val="00B06A22"/>
    <w:rsid w:val="00B1483B"/>
    <w:rsid w:val="00B204A2"/>
    <w:rsid w:val="00B240B9"/>
    <w:rsid w:val="00B2478C"/>
    <w:rsid w:val="00B26D31"/>
    <w:rsid w:val="00B2784D"/>
    <w:rsid w:val="00B372AF"/>
    <w:rsid w:val="00B40E90"/>
    <w:rsid w:val="00B40F99"/>
    <w:rsid w:val="00B41874"/>
    <w:rsid w:val="00B500C4"/>
    <w:rsid w:val="00B51A2C"/>
    <w:rsid w:val="00B577E5"/>
    <w:rsid w:val="00B653E1"/>
    <w:rsid w:val="00B65C3D"/>
    <w:rsid w:val="00B65DBA"/>
    <w:rsid w:val="00B92C04"/>
    <w:rsid w:val="00B96942"/>
    <w:rsid w:val="00BA0348"/>
    <w:rsid w:val="00BA3E1D"/>
    <w:rsid w:val="00BA41B2"/>
    <w:rsid w:val="00BA4B77"/>
    <w:rsid w:val="00BA7362"/>
    <w:rsid w:val="00BB1503"/>
    <w:rsid w:val="00BB25EA"/>
    <w:rsid w:val="00BB32CE"/>
    <w:rsid w:val="00BB7CDE"/>
    <w:rsid w:val="00BD32C1"/>
    <w:rsid w:val="00BD7415"/>
    <w:rsid w:val="00BE1192"/>
    <w:rsid w:val="00BE2423"/>
    <w:rsid w:val="00BE5700"/>
    <w:rsid w:val="00BE77FB"/>
    <w:rsid w:val="00BF43EA"/>
    <w:rsid w:val="00C0256D"/>
    <w:rsid w:val="00C1288E"/>
    <w:rsid w:val="00C13698"/>
    <w:rsid w:val="00C14F41"/>
    <w:rsid w:val="00C21ABF"/>
    <w:rsid w:val="00C21EB2"/>
    <w:rsid w:val="00C25CC6"/>
    <w:rsid w:val="00C4433A"/>
    <w:rsid w:val="00C44419"/>
    <w:rsid w:val="00C44C34"/>
    <w:rsid w:val="00C46E25"/>
    <w:rsid w:val="00C53965"/>
    <w:rsid w:val="00C62704"/>
    <w:rsid w:val="00C62AB6"/>
    <w:rsid w:val="00C65416"/>
    <w:rsid w:val="00C7307C"/>
    <w:rsid w:val="00C935CA"/>
    <w:rsid w:val="00C95582"/>
    <w:rsid w:val="00C9796A"/>
    <w:rsid w:val="00CA3EA6"/>
    <w:rsid w:val="00CB26AB"/>
    <w:rsid w:val="00CB4709"/>
    <w:rsid w:val="00CD256F"/>
    <w:rsid w:val="00CD52F2"/>
    <w:rsid w:val="00CD6003"/>
    <w:rsid w:val="00CE1DDE"/>
    <w:rsid w:val="00CF0298"/>
    <w:rsid w:val="00CF2DEA"/>
    <w:rsid w:val="00D071E8"/>
    <w:rsid w:val="00D14D68"/>
    <w:rsid w:val="00D228AC"/>
    <w:rsid w:val="00D233E7"/>
    <w:rsid w:val="00D2618F"/>
    <w:rsid w:val="00D3090A"/>
    <w:rsid w:val="00D37BD1"/>
    <w:rsid w:val="00D405C8"/>
    <w:rsid w:val="00D40818"/>
    <w:rsid w:val="00D47895"/>
    <w:rsid w:val="00D47E7D"/>
    <w:rsid w:val="00D605DC"/>
    <w:rsid w:val="00D61896"/>
    <w:rsid w:val="00D61B44"/>
    <w:rsid w:val="00D62E87"/>
    <w:rsid w:val="00D65A6E"/>
    <w:rsid w:val="00D81AEA"/>
    <w:rsid w:val="00D8396A"/>
    <w:rsid w:val="00D876DF"/>
    <w:rsid w:val="00D87D7C"/>
    <w:rsid w:val="00DA46CF"/>
    <w:rsid w:val="00DA5842"/>
    <w:rsid w:val="00DA60CD"/>
    <w:rsid w:val="00DB7531"/>
    <w:rsid w:val="00DC2962"/>
    <w:rsid w:val="00DD059E"/>
    <w:rsid w:val="00DE4D62"/>
    <w:rsid w:val="00DE7836"/>
    <w:rsid w:val="00E01813"/>
    <w:rsid w:val="00E0274A"/>
    <w:rsid w:val="00E07235"/>
    <w:rsid w:val="00E10951"/>
    <w:rsid w:val="00E20660"/>
    <w:rsid w:val="00E20C74"/>
    <w:rsid w:val="00E22344"/>
    <w:rsid w:val="00E25D59"/>
    <w:rsid w:val="00E35D76"/>
    <w:rsid w:val="00E3707F"/>
    <w:rsid w:val="00E3724F"/>
    <w:rsid w:val="00E37F99"/>
    <w:rsid w:val="00E516E8"/>
    <w:rsid w:val="00E71053"/>
    <w:rsid w:val="00E731CE"/>
    <w:rsid w:val="00E77883"/>
    <w:rsid w:val="00E83A8C"/>
    <w:rsid w:val="00E86F6A"/>
    <w:rsid w:val="00E9552D"/>
    <w:rsid w:val="00E97886"/>
    <w:rsid w:val="00EA0A6A"/>
    <w:rsid w:val="00EA4F37"/>
    <w:rsid w:val="00EB4578"/>
    <w:rsid w:val="00EB4E30"/>
    <w:rsid w:val="00EB5E18"/>
    <w:rsid w:val="00EB6CB2"/>
    <w:rsid w:val="00EC540C"/>
    <w:rsid w:val="00ED7F63"/>
    <w:rsid w:val="00EE29B0"/>
    <w:rsid w:val="00EE35E4"/>
    <w:rsid w:val="00EE5A83"/>
    <w:rsid w:val="00EF4BE1"/>
    <w:rsid w:val="00F009F9"/>
    <w:rsid w:val="00F0173E"/>
    <w:rsid w:val="00F043ED"/>
    <w:rsid w:val="00F10873"/>
    <w:rsid w:val="00F13C56"/>
    <w:rsid w:val="00F23C1E"/>
    <w:rsid w:val="00F24562"/>
    <w:rsid w:val="00F43F42"/>
    <w:rsid w:val="00F46B46"/>
    <w:rsid w:val="00F47565"/>
    <w:rsid w:val="00F47C3E"/>
    <w:rsid w:val="00F500F9"/>
    <w:rsid w:val="00F5294A"/>
    <w:rsid w:val="00F733E5"/>
    <w:rsid w:val="00F81612"/>
    <w:rsid w:val="00F87D33"/>
    <w:rsid w:val="00F94CDD"/>
    <w:rsid w:val="00F976EC"/>
    <w:rsid w:val="00FA0139"/>
    <w:rsid w:val="00FA7FCD"/>
    <w:rsid w:val="00FB0E7D"/>
    <w:rsid w:val="00FB31AF"/>
    <w:rsid w:val="00FB4F43"/>
    <w:rsid w:val="00FC0B0C"/>
    <w:rsid w:val="00FD02EE"/>
    <w:rsid w:val="00FD075E"/>
    <w:rsid w:val="00FD3763"/>
    <w:rsid w:val="00FE140B"/>
    <w:rsid w:val="00FE3EDC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3AEE8"/>
  <w15:chartTrackingRefBased/>
  <w15:docId w15:val="{24BD1071-6C78-457B-B689-BE50C0F0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045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0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5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5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5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2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94A"/>
  </w:style>
  <w:style w:type="paragraph" w:styleId="Stopka">
    <w:name w:val="footer"/>
    <w:basedOn w:val="Normalny"/>
    <w:link w:val="StopkaZnak"/>
    <w:uiPriority w:val="99"/>
    <w:unhideWhenUsed/>
    <w:rsid w:val="00F52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94A"/>
  </w:style>
  <w:style w:type="character" w:styleId="Hipercze">
    <w:name w:val="Hyperlink"/>
    <w:basedOn w:val="Domylnaczcionkaakapitu"/>
    <w:uiPriority w:val="99"/>
    <w:unhideWhenUsed/>
    <w:rsid w:val="00982D1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2D1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46DD7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51A2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A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A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A20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855B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B045A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045A0"/>
    <w:rPr>
      <w:b/>
      <w:bCs/>
    </w:rPr>
  </w:style>
  <w:style w:type="paragraph" w:customStyle="1" w:styleId="Default">
    <w:name w:val="Default"/>
    <w:rsid w:val="0085149D"/>
    <w:pPr>
      <w:autoSpaceDE w:val="0"/>
      <w:autoSpaceDN w:val="0"/>
      <w:adjustRightInd w:val="0"/>
      <w:spacing w:after="0" w:line="240" w:lineRule="auto"/>
    </w:pPr>
    <w:rPr>
      <w:rFonts w:ascii="Gothic A1 Light" w:hAnsi="Gothic A1 Light" w:cs="Gothic A1 Light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A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ddenspellerror">
    <w:name w:val="hiddenspellerror"/>
    <w:basedOn w:val="Domylnaczcionkaakapitu"/>
    <w:rsid w:val="00C4433A"/>
  </w:style>
  <w:style w:type="paragraph" w:styleId="Poprawka">
    <w:name w:val="Revision"/>
    <w:hidden/>
    <w:uiPriority w:val="99"/>
    <w:semiHidden/>
    <w:rsid w:val="00A06685"/>
    <w:pPr>
      <w:spacing w:after="0" w:line="240" w:lineRule="auto"/>
    </w:pPr>
  </w:style>
  <w:style w:type="character" w:customStyle="1" w:styleId="cf01">
    <w:name w:val="cf01"/>
    <w:basedOn w:val="Domylnaczcionkaakapitu"/>
    <w:rsid w:val="00B500C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16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8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1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2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599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48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391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934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sti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59B69-37FD-4202-92B0-EBBB5916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Popek</dc:creator>
  <cp:keywords/>
  <dc:description/>
  <cp:lastModifiedBy>Świeża Bazylia</cp:lastModifiedBy>
  <cp:revision>6</cp:revision>
  <cp:lastPrinted>2021-08-23T07:36:00Z</cp:lastPrinted>
  <dcterms:created xsi:type="dcterms:W3CDTF">2021-11-22T09:37:00Z</dcterms:created>
  <dcterms:modified xsi:type="dcterms:W3CDTF">2021-11-26T08:39:00Z</dcterms:modified>
</cp:coreProperties>
</file>